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360" w:lineRule="auto"/>
        <w:ind w:left="4678"/>
        <w:jc w:val="center"/>
        <w:rPr>
          <w:sz w:val="28"/>
        </w:rPr>
      </w:pPr>
      <w:r>
        <w:rPr>
          <w:sz w:val="28"/>
        </w:rPr>
        <w:t>Приложение № 1</w:t>
      </w:r>
      <w:r>
        <w:rPr>
          <w:sz w:val="28"/>
        </w:rPr>
        <w:br/>
      </w:r>
      <w:r>
        <w:rPr>
          <w:sz w:val="28"/>
        </w:rPr>
        <w:t xml:space="preserve">к приказу ТУ Росимущества </w:t>
      </w:r>
    </w:p>
    <w:p w14:paraId="02000000">
      <w:pPr>
        <w:widowControl w:val="1"/>
        <w:spacing w:line="360" w:lineRule="auto"/>
        <w:ind w:left="4678"/>
        <w:jc w:val="center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Тверской области</w:t>
      </w:r>
    </w:p>
    <w:p w14:paraId="03000000">
      <w:pPr>
        <w:widowControl w:val="1"/>
        <w:ind w:left="4680"/>
        <w:jc w:val="center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14 августа </w:t>
      </w:r>
      <w:r>
        <w:rPr>
          <w:sz w:val="28"/>
        </w:rPr>
        <w:t xml:space="preserve"> 20</w:t>
      </w:r>
      <w:r>
        <w:rPr>
          <w:sz w:val="28"/>
        </w:rPr>
        <w:t>13</w:t>
      </w:r>
      <w:r>
        <w:rPr>
          <w:sz w:val="28"/>
        </w:rPr>
        <w:t xml:space="preserve"> года 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28</w:t>
      </w:r>
    </w:p>
    <w:p w14:paraId="04000000">
      <w:pPr>
        <w:pStyle w:val="Style_1"/>
        <w:widowControl w:val="1"/>
        <w:ind w:left="360"/>
        <w:jc w:val="center"/>
        <w:rPr>
          <w:rFonts w:ascii="Times New Roman" w:hAnsi="Times New Roman"/>
          <w:sz w:val="28"/>
        </w:rPr>
      </w:pPr>
    </w:p>
    <w:p w14:paraId="05000000">
      <w:pPr>
        <w:pStyle w:val="Style_1"/>
        <w:widowControl w:val="1"/>
        <w:spacing w:line="360" w:lineRule="auto"/>
        <w:ind w:left="360"/>
        <w:jc w:val="center"/>
        <w:rPr>
          <w:rFonts w:ascii="Times New Roman" w:hAnsi="Times New Roman"/>
          <w:sz w:val="28"/>
        </w:rPr>
      </w:pPr>
    </w:p>
    <w:p w14:paraId="06000000">
      <w:pPr>
        <w:pStyle w:val="Style_1"/>
        <w:widowControl w:val="1"/>
        <w:spacing w:line="360" w:lineRule="auto"/>
        <w:ind w:left="360"/>
        <w:jc w:val="center"/>
        <w:rPr>
          <w:rFonts w:ascii="Times New Roman" w:hAnsi="Times New Roman"/>
          <w:sz w:val="28"/>
        </w:rPr>
      </w:pPr>
    </w:p>
    <w:p w14:paraId="07000000">
      <w:pPr>
        <w:pStyle w:val="Style_1"/>
        <w:widowControl w:val="1"/>
        <w:spacing w:line="360" w:lineRule="auto"/>
        <w:ind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14:paraId="08000000">
      <w:pPr>
        <w:pStyle w:val="Style_1"/>
        <w:widowControl w:val="1"/>
        <w:spacing w:line="360" w:lineRule="auto"/>
        <w:ind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работе «Телефона доверия» Комиссии по противодействию коррупции в ТУ Росимущества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Тверской области</w:t>
      </w:r>
    </w:p>
    <w:p w14:paraId="09000000">
      <w:pPr>
        <w:pStyle w:val="Style_2"/>
        <w:widowControl w:val="1"/>
        <w:spacing w:line="360" w:lineRule="auto"/>
        <w:ind w:firstLine="709"/>
      </w:pPr>
    </w:p>
    <w:p w14:paraId="0A000000">
      <w:pPr>
        <w:pStyle w:val="Style_2"/>
        <w:widowControl w:val="1"/>
        <w:spacing w:line="360" w:lineRule="auto"/>
        <w:ind w:firstLine="709"/>
      </w:pPr>
      <w:r>
        <w:t xml:space="preserve">Настоящее  Положение </w:t>
      </w:r>
      <w:r>
        <w:t xml:space="preserve">о работе «Телефона доверия» Комиссии по противодействию коррупции в ТУ Росимущества </w:t>
      </w:r>
      <w:r>
        <w:t>в</w:t>
      </w:r>
      <w:r>
        <w:t xml:space="preserve"> Тверской области (далее – Положение) </w:t>
      </w:r>
      <w:r>
        <w:t>разработано в соответствии</w:t>
      </w:r>
      <w:r>
        <w:t xml:space="preserve"> с</w:t>
      </w:r>
      <w:r>
        <w:t xml:space="preserve"> Федеральным законом от 25.12.2008 года № 273-ФЗ «О противодействии коррупции» с целью </w:t>
      </w:r>
      <w:r>
        <w:t>профилактики коррупционных и иных правонарушений</w:t>
      </w:r>
    </w:p>
    <w:p w14:paraId="0B000000">
      <w:pPr>
        <w:pStyle w:val="Style_2"/>
        <w:widowControl w:val="1"/>
        <w:spacing w:line="360" w:lineRule="auto"/>
        <w:ind w:firstLine="709"/>
      </w:pPr>
      <w:r>
        <w:t xml:space="preserve">Положение направлено на обеспечение конституционного права граждан на обращение  в ТУ Росимущества по Тверской области по вопросам, связанным с противодействием коррупции, а так же устанавливает порядок и сроки  рассмотрения поступивших обращений. </w:t>
      </w:r>
    </w:p>
    <w:p w14:paraId="0C000000">
      <w:pPr>
        <w:pStyle w:val="Style_1"/>
        <w:widowControl w:val="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0D000000">
      <w:pPr>
        <w:pStyle w:val="Style_1"/>
        <w:widowControl w:val="1"/>
        <w:spacing w:line="36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Глава 1.</w:t>
      </w:r>
    </w:p>
    <w:p w14:paraId="0E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Порядок приема сообщений и сроки рассмотрения сообщений.</w:t>
      </w:r>
    </w:p>
    <w:p w14:paraId="0F000000">
      <w:pPr>
        <w:pStyle w:val="Style_1"/>
        <w:widowControl w:val="1"/>
        <w:spacing w:line="360" w:lineRule="auto"/>
        <w:ind w:firstLine="708"/>
        <w:jc w:val="both"/>
        <w:rPr>
          <w:rFonts w:ascii="Times New Roman" w:hAnsi="Times New Roman"/>
          <w:sz w:val="28"/>
        </w:rPr>
      </w:pPr>
    </w:p>
    <w:p w14:paraId="10000000">
      <w:pPr>
        <w:pStyle w:val="Style_1"/>
        <w:widowControl w:val="1"/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Статья 1. Обращения граждан</w:t>
      </w:r>
    </w:p>
    <w:p w14:paraId="11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Номер «Телефона доверия», а также время  работы в рабочие дни для приема обращений граждан по вопросам, входящим в компетенцию Комиссии по противодействию коррупции ТУ Росимущества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Тверской области, указанны в Приложении № 1. </w:t>
      </w:r>
    </w:p>
    <w:p w14:paraId="12000000">
      <w:pPr>
        <w:pStyle w:val="Style_1"/>
        <w:widowControl w:val="1"/>
        <w:tabs>
          <w:tab w:leader="none" w:pos="1260" w:val="left"/>
          <w:tab w:leader="none" w:pos="144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Все поступившие сообщения, в том числе анонимные, фиксируются в Журнале обращения граждан по вопросам противодействия коррупции (Приложение № 2).</w:t>
      </w:r>
    </w:p>
    <w:p w14:paraId="13000000">
      <w:pPr>
        <w:pStyle w:val="Style_1"/>
        <w:widowControl w:val="1"/>
        <w:tabs>
          <w:tab w:leader="none" w:pos="1260" w:val="left"/>
          <w:tab w:leader="none" w:pos="1440" w:val="left"/>
          <w:tab w:leader="none" w:pos="1832" w:val="clear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Содержание Журнала обращений граждан носит конфиденциальный характер и не подлежит разглашению. Лица, имеющие доступ к информации содержащейся в Журнале указаны в Приложении № 3.</w:t>
      </w:r>
    </w:p>
    <w:p w14:paraId="14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Сообщения граждан рассматриваются в срок до одного месяца, за исключением тех, которые требуют дополнительного изучения, о чем сообщается обратившемуся лицу.</w:t>
      </w:r>
    </w:p>
    <w:p w14:paraId="15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</w:p>
    <w:p w14:paraId="16000000">
      <w:pPr>
        <w:pStyle w:val="Style_1"/>
        <w:widowControl w:val="1"/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Статья 2. Ознакомление с сообщениями граждан</w:t>
      </w:r>
    </w:p>
    <w:p w14:paraId="17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Еженедельно начальник отдела </w:t>
      </w:r>
      <w:r>
        <w:rPr>
          <w:rFonts w:ascii="Times New Roman" w:hAnsi="Times New Roman"/>
          <w:sz w:val="28"/>
        </w:rPr>
        <w:t xml:space="preserve"> организационной работы и финансового обеспечения</w:t>
      </w:r>
      <w:r>
        <w:rPr>
          <w:rFonts w:ascii="Times New Roman" w:hAnsi="Times New Roman"/>
          <w:sz w:val="28"/>
        </w:rPr>
        <w:t xml:space="preserve"> предоставляет Председателю Комиссии по противодействию коррупции сведения о поступивших сообщениях с предложениями по их проверке.</w:t>
      </w:r>
    </w:p>
    <w:p w14:paraId="18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Председатель Комиссии по противодействию коррупции принимает решение о форме проведения проверки – документальная проверка, служебная проверка или направление информации в правоохранительные органы, о чем делает соответствующею запись в журнале.</w:t>
      </w:r>
    </w:p>
    <w:p w14:paraId="19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Результаты проведенных проверок рассматриваются на заседании Комиссии по противодействию коррупции, в ходе которой принимаются решения о их дальнейшей судьбе.</w:t>
      </w:r>
    </w:p>
    <w:p w14:paraId="1A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Предложения по улучшению работы ТУ Росимущества, поступившие на «Телефон доверия», рассматриваются на очередном заседании Комиссии по противодействию коррупции.</w:t>
      </w:r>
    </w:p>
    <w:p w14:paraId="1B000000">
      <w:pPr>
        <w:pStyle w:val="Style_1"/>
        <w:widowControl w:val="1"/>
        <w:tabs>
          <w:tab w:leader="none" w:pos="1260" w:val="left"/>
        </w:tabs>
        <w:spacing w:line="360" w:lineRule="auto"/>
        <w:ind/>
        <w:jc w:val="both"/>
        <w:rPr>
          <w:rFonts w:ascii="Times New Roman" w:hAnsi="Times New Roman"/>
          <w:sz w:val="28"/>
        </w:rPr>
      </w:pPr>
    </w:p>
    <w:p w14:paraId="1C000000">
      <w:pPr>
        <w:pStyle w:val="Style_1"/>
        <w:widowControl w:val="1"/>
        <w:tabs>
          <w:tab w:leader="none" w:pos="1260" w:val="left"/>
        </w:tabs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Статья 3. Обсуждение результатов проверок.</w:t>
      </w:r>
    </w:p>
    <w:p w14:paraId="1D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Комиссия по противодействию коррупции по результатам проверки принимает обоснованное решение и обеспечивает его исполнение в  рамках своих полномочий.</w:t>
      </w:r>
    </w:p>
    <w:p w14:paraId="1E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Комиссия обязана сообщить заявителю в установленный срок о принятом  решении.</w:t>
      </w:r>
    </w:p>
    <w:p w14:paraId="1F000000">
      <w:pPr>
        <w:pStyle w:val="Style_1"/>
        <w:widowControl w:val="1"/>
        <w:tabs>
          <w:tab w:leader="none" w:pos="1260" w:val="left"/>
        </w:tabs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случае неудовлетворения требований, изложенных в сообщении, Комиссия по противодействию коррупции обязана довести до сведения заявителя мотивы отказа, а также указать возможность обжалования принятого по заявлению решения.</w:t>
      </w:r>
    </w:p>
    <w:p w14:paraId="20000000">
      <w:pPr>
        <w:pStyle w:val="Style_1"/>
        <w:widowControl w:val="1"/>
        <w:spacing w:line="360" w:lineRule="auto"/>
        <w:ind/>
        <w:jc w:val="both"/>
        <w:rPr>
          <w:rFonts w:ascii="Times New Roman" w:hAnsi="Times New Roman"/>
          <w:sz w:val="28"/>
        </w:rPr>
      </w:pPr>
    </w:p>
    <w:p w14:paraId="21000000">
      <w:pPr>
        <w:pStyle w:val="Style_1"/>
        <w:widowControl w:val="1"/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Статья 4. Права и обязанности Комиссии по противодействию коррупции при  рассмотрении обращений граждан.</w:t>
      </w:r>
    </w:p>
    <w:p w14:paraId="22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Комиссия вправе:</w:t>
      </w:r>
    </w:p>
    <w:p w14:paraId="23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запрашивать и получать от других органов и должностных  лиц сведения, документы и материалы, необходимые для рассмотрения обращений;</w:t>
      </w:r>
    </w:p>
    <w:p w14:paraId="24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получать устные и письменные объяснения от должностных лиц по вопросам, подлежащим выяснению при рассмотрении обращений;</w:t>
      </w:r>
    </w:p>
    <w:p w14:paraId="25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проводить проверки по исполнению принятых решений.</w:t>
      </w:r>
    </w:p>
    <w:p w14:paraId="26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Комиссия обязана в рамках своих полномочий:</w:t>
      </w:r>
    </w:p>
    <w:p w14:paraId="27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рассматривать результаты проверки сообщений по существу в установленные настоящим Положением сроки;</w:t>
      </w:r>
    </w:p>
    <w:p w14:paraId="28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принимать обоснованные решения и обеспечить их исполнение;</w:t>
      </w:r>
    </w:p>
    <w:p w14:paraId="29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сообщать заявителям о результатах рассмотрения обращений;</w:t>
      </w:r>
    </w:p>
    <w:p w14:paraId="2A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направлять </w:t>
      </w:r>
      <w:r>
        <w:rPr>
          <w:rFonts w:ascii="Times New Roman" w:hAnsi="Times New Roman"/>
          <w:color w:val="000000"/>
          <w:sz w:val="28"/>
        </w:rPr>
        <w:t>в пятидневный срок</w:t>
      </w:r>
      <w:r>
        <w:rPr>
          <w:rFonts w:ascii="Times New Roman" w:hAnsi="Times New Roman"/>
          <w:sz w:val="28"/>
        </w:rPr>
        <w:t xml:space="preserve"> по подведомственности обращения, принятие решений, по которым выходит за рамки ее компетенции;</w:t>
      </w:r>
    </w:p>
    <w:p w14:paraId="2B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не разглашать по мотивированной просьбе заявителей сведения об их фамилии, имени, отчестве, данные о месте жительства, работы (учебы);</w:t>
      </w:r>
    </w:p>
    <w:p w14:paraId="2C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не использовать в публичных выступлениях без согласия заявителей сведения об их частной жизни, ставшие известными при рассмотрении результатов проверки обращений;</w:t>
      </w:r>
    </w:p>
    <w:p w14:paraId="2D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систематически анализировать и обобщать предложения, заявления, жалобы, содержащиеся в них критические замечания с целью своевременного  выявления и устранения  причин,  порождающих нарушения прав и охраняемых законом интересов граждан, изучать общественное мнение в целях совершенствования своей работы.</w:t>
      </w:r>
    </w:p>
    <w:p w14:paraId="2E000000">
      <w:pPr>
        <w:pStyle w:val="Style_1"/>
        <w:widowControl w:val="1"/>
        <w:spacing w:line="360" w:lineRule="auto"/>
        <w:ind/>
        <w:jc w:val="center"/>
        <w:rPr>
          <w:rFonts w:ascii="Times New Roman" w:hAnsi="Times New Roman"/>
          <w:sz w:val="32"/>
        </w:rPr>
      </w:pPr>
    </w:p>
    <w:p w14:paraId="2F000000">
      <w:pPr>
        <w:pStyle w:val="Style_1"/>
        <w:widowControl w:val="1"/>
        <w:spacing w:line="36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Глава 2.</w:t>
      </w:r>
    </w:p>
    <w:p w14:paraId="30000000">
      <w:pPr>
        <w:pStyle w:val="Style_1"/>
        <w:widowControl w:val="1"/>
        <w:spacing w:line="36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Заключительные положения</w:t>
      </w:r>
    </w:p>
    <w:p w14:paraId="31000000">
      <w:pPr>
        <w:pStyle w:val="Style_1"/>
        <w:widowControl w:val="1"/>
        <w:spacing w:line="360" w:lineRule="auto"/>
        <w:ind/>
        <w:jc w:val="both"/>
        <w:rPr>
          <w:rFonts w:ascii="Times New Roman" w:hAnsi="Times New Roman"/>
          <w:sz w:val="28"/>
        </w:rPr>
      </w:pPr>
    </w:p>
    <w:p w14:paraId="32000000">
      <w:pPr>
        <w:pStyle w:val="Style_1"/>
        <w:widowControl w:val="1"/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Статья 5. Ответственность  за нарушение  законодательства  об обращениях граждан. </w:t>
      </w:r>
    </w:p>
    <w:p w14:paraId="33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Неправомерный отказ в рассмотрении обращений граждан, нарушение сроков рассмотрения обращений граждан, уклонение от предоставления информации по обращениям граждан  или предоставление недостоверной   информации, принятие заведомо необоснованного решения, разглашение сведений о частной жизни граждан без их согласия, а также иные нарушения законодательства об обращениях граждан влекут за собой  ответственность виновных должностных лиц, в соответствии с действующим законодательством.</w:t>
      </w:r>
    </w:p>
    <w:p w14:paraId="34000000">
      <w:pPr>
        <w:pStyle w:val="Style_1"/>
        <w:widowControl w:val="1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35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1 </w:t>
      </w:r>
    </w:p>
    <w:p w14:paraId="36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</w:t>
      </w:r>
    </w:p>
    <w:p w14:paraId="37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работе «Телефона доверия»</w:t>
      </w:r>
    </w:p>
    <w:p w14:paraId="38000000">
      <w:pPr>
        <w:pStyle w:val="Style_1"/>
        <w:widowControl w:val="1"/>
        <w:ind w:firstLine="900"/>
        <w:jc w:val="both"/>
        <w:rPr>
          <w:rFonts w:ascii="Times New Roman" w:hAnsi="Times New Roman"/>
          <w:sz w:val="28"/>
        </w:rPr>
      </w:pPr>
    </w:p>
    <w:p w14:paraId="39000000">
      <w:pPr>
        <w:pStyle w:val="Style_1"/>
        <w:widowControl w:val="1"/>
        <w:ind w:firstLine="90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Номер «Телефона доверия», а также время  работы в рабочие дни для приема обращений граждан по вопросам, входящим в компетенцию Комиссии по противодействию коррупции ТУ Росимущества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Тверской области</w:t>
      </w:r>
    </w:p>
    <w:p w14:paraId="3A000000">
      <w:pPr>
        <w:pStyle w:val="Style_1"/>
        <w:widowControl w:val="1"/>
        <w:ind w:firstLine="900"/>
        <w:jc w:val="both"/>
        <w:rPr>
          <w:rFonts w:ascii="Times New Roman" w:hAnsi="Times New Roman"/>
          <w:sz w:val="28"/>
        </w:rPr>
      </w:pPr>
    </w:p>
    <w:p w14:paraId="3B000000">
      <w:pPr>
        <w:pStyle w:val="Style_1"/>
        <w:widowControl w:val="1"/>
        <w:ind w:firstLine="900"/>
        <w:jc w:val="both"/>
        <w:rPr>
          <w:rFonts w:ascii="Times New Roman" w:hAnsi="Times New Roman"/>
          <w:sz w:val="28"/>
        </w:rPr>
      </w:pPr>
    </w:p>
    <w:p w14:paraId="3C000000">
      <w:pPr>
        <w:pStyle w:val="Style_1"/>
        <w:widowControl w:val="1"/>
        <w:spacing w:line="360" w:lineRule="auto"/>
        <w:ind w:firstLine="900"/>
        <w:jc w:val="both"/>
        <w:rPr>
          <w:rFonts w:ascii="Times New Roman" w:hAnsi="Times New Roman"/>
          <w:sz w:val="28"/>
        </w:rPr>
      </w:pPr>
    </w:p>
    <w:p w14:paraId="3D000000">
      <w:pPr>
        <w:pStyle w:val="Style_1"/>
        <w:widowControl w:val="1"/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«Телефона доверия»: (4822) 3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3-</w:t>
      </w:r>
      <w:r>
        <w:rPr>
          <w:rFonts w:ascii="Times New Roman" w:hAnsi="Times New Roman"/>
          <w:sz w:val="28"/>
        </w:rPr>
        <w:t>80</w:t>
      </w:r>
    </w:p>
    <w:p w14:paraId="3E000000">
      <w:pPr>
        <w:pStyle w:val="Style_1"/>
        <w:widowControl w:val="1"/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работы «Телефона доверия» в рабочие дни:</w:t>
      </w:r>
    </w:p>
    <w:p w14:paraId="3F000000">
      <w:pPr>
        <w:pStyle w:val="Style_1"/>
        <w:widowControl w:val="1"/>
        <w:numPr>
          <w:ilvl w:val="0"/>
          <w:numId w:val="1"/>
        </w:numPr>
        <w:tabs>
          <w:tab w:leader="none" w:pos="540" w:val="left"/>
          <w:tab w:leader="none" w:pos="720" w:val="clear"/>
        </w:tabs>
        <w:spacing w:line="360" w:lineRule="auto"/>
        <w:ind w:hanging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понедельника по четверг – с 9.30 до 12.00 часов, с 14.00 до 17.45 часов;</w:t>
      </w:r>
    </w:p>
    <w:p w14:paraId="40000000">
      <w:pPr>
        <w:pStyle w:val="Style_1"/>
        <w:widowControl w:val="1"/>
        <w:numPr>
          <w:ilvl w:val="0"/>
          <w:numId w:val="1"/>
        </w:numPr>
        <w:tabs>
          <w:tab w:leader="none" w:pos="540" w:val="left"/>
          <w:tab w:leader="none" w:pos="720" w:val="clear"/>
        </w:tabs>
        <w:spacing w:line="360" w:lineRule="auto"/>
        <w:ind w:hanging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пятница – с 9.30 до 12.00 часов, с 14.00 до 16.00.</w:t>
      </w:r>
    </w:p>
    <w:p w14:paraId="41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t xml:space="preserve">Приложение № 2 </w:t>
      </w:r>
    </w:p>
    <w:p w14:paraId="42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</w:t>
      </w:r>
    </w:p>
    <w:p w14:paraId="43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работе «Телефона доверия»</w:t>
      </w:r>
    </w:p>
    <w:p w14:paraId="44000000">
      <w:pPr>
        <w:pStyle w:val="Style_2"/>
        <w:widowControl w:val="1"/>
        <w:spacing w:line="360" w:lineRule="auto"/>
        <w:ind w:firstLine="0"/>
        <w:jc w:val="left"/>
      </w:pPr>
    </w:p>
    <w:p w14:paraId="45000000">
      <w:pPr>
        <w:pStyle w:val="Style_2"/>
        <w:widowControl w:val="1"/>
        <w:spacing w:line="360" w:lineRule="auto"/>
        <w:ind w:firstLine="0"/>
        <w:jc w:val="center"/>
        <w:rPr>
          <w:b w:val="1"/>
        </w:rPr>
      </w:pPr>
      <w:r>
        <w:rPr>
          <w:b w:val="1"/>
        </w:rPr>
        <w:t>Журнал обращения граждан по вопросам противодействия коррупции</w:t>
      </w:r>
    </w:p>
    <w:p w14:paraId="46000000">
      <w:pPr>
        <w:pStyle w:val="Style_2"/>
        <w:widowControl w:val="1"/>
        <w:spacing w:line="360" w:lineRule="auto"/>
        <w:ind w:firstLine="0"/>
        <w:jc w:val="left"/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10"/>
        <w:gridCol w:w="1657"/>
        <w:gridCol w:w="1136"/>
        <w:gridCol w:w="1620"/>
        <w:gridCol w:w="1620"/>
        <w:gridCol w:w="1662"/>
        <w:gridCol w:w="1883"/>
      </w:tblGrid>
      <w:tr>
        <w:tc>
          <w:tcPr>
            <w:tcW w:type="dxa" w:w="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2"/>
              <w:widowControl w:val="1"/>
              <w:spacing w:line="360" w:lineRule="auto"/>
              <w:ind w:firstLine="0"/>
              <w:jc w:val="left"/>
            </w:pPr>
            <w:r>
              <w:t>№ п/п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2"/>
              <w:widowControl w:val="1"/>
              <w:spacing w:line="360" w:lineRule="auto"/>
              <w:ind w:firstLine="0"/>
              <w:jc w:val="left"/>
            </w:pPr>
            <w:r>
              <w:t>ФИО гражданина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2"/>
              <w:widowControl w:val="1"/>
              <w:spacing w:line="360" w:lineRule="auto"/>
              <w:ind w:firstLine="0"/>
              <w:jc w:val="left"/>
            </w:pPr>
            <w:r>
              <w:t xml:space="preserve">Адрес 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2"/>
              <w:widowControl w:val="1"/>
              <w:spacing w:line="360" w:lineRule="auto"/>
              <w:ind w:firstLine="0"/>
              <w:jc w:val="left"/>
            </w:pPr>
            <w:r>
              <w:t>Краткое изложение  обращения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2"/>
              <w:widowControl w:val="1"/>
              <w:spacing w:line="360" w:lineRule="auto"/>
              <w:ind w:firstLine="0"/>
              <w:jc w:val="left"/>
            </w:pPr>
            <w:r>
              <w:t>Дата и время приема обращения</w:t>
            </w:r>
          </w:p>
        </w:tc>
        <w:tc>
          <w:tcPr>
            <w:tcW w:type="dxa" w:w="16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2"/>
              <w:widowControl w:val="1"/>
              <w:spacing w:line="360" w:lineRule="auto"/>
              <w:ind w:firstLine="0"/>
              <w:jc w:val="left"/>
            </w:pPr>
            <w:r>
              <w:t>ФИО принявшего обращение</w:t>
            </w:r>
          </w:p>
        </w:tc>
        <w:tc>
          <w:tcPr>
            <w:tcW w:type="dxa" w:w="1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2"/>
              <w:widowControl w:val="1"/>
              <w:spacing w:line="360" w:lineRule="auto"/>
              <w:ind w:firstLine="0"/>
              <w:jc w:val="left"/>
            </w:pPr>
            <w:r>
              <w:t>Отметка о рассмотрении сообщения</w:t>
            </w:r>
          </w:p>
        </w:tc>
      </w:tr>
      <w:tr>
        <w:tc>
          <w:tcPr>
            <w:tcW w:type="dxa" w:w="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2"/>
              <w:widowControl w:val="1"/>
              <w:spacing w:line="360" w:lineRule="auto"/>
              <w:ind w:firstLine="0"/>
              <w:jc w:val="left"/>
            </w:pPr>
            <w:r>
              <w:t>1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2"/>
              <w:widowControl w:val="1"/>
              <w:spacing w:line="360" w:lineRule="auto"/>
              <w:ind w:firstLine="0"/>
              <w:jc w:val="left"/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2"/>
              <w:widowControl w:val="1"/>
              <w:spacing w:line="360" w:lineRule="auto"/>
              <w:ind w:firstLine="0"/>
              <w:jc w:val="lef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2"/>
              <w:widowControl w:val="1"/>
              <w:spacing w:line="360" w:lineRule="auto"/>
              <w:ind w:firstLine="0"/>
              <w:jc w:val="lef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2"/>
              <w:widowControl w:val="1"/>
              <w:spacing w:line="360" w:lineRule="auto"/>
              <w:ind w:firstLine="0"/>
              <w:jc w:val="left"/>
            </w:pPr>
          </w:p>
        </w:tc>
        <w:tc>
          <w:tcPr>
            <w:tcW w:type="dxa" w:w="16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2"/>
              <w:widowControl w:val="1"/>
              <w:spacing w:line="360" w:lineRule="auto"/>
              <w:ind w:firstLine="0"/>
              <w:jc w:val="left"/>
            </w:pPr>
          </w:p>
        </w:tc>
        <w:tc>
          <w:tcPr>
            <w:tcW w:type="dxa" w:w="1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2"/>
              <w:widowControl w:val="1"/>
              <w:spacing w:line="360" w:lineRule="auto"/>
              <w:ind w:firstLine="0"/>
              <w:jc w:val="left"/>
            </w:pPr>
          </w:p>
        </w:tc>
      </w:tr>
    </w:tbl>
    <w:p w14:paraId="55000000">
      <w:pPr>
        <w:pStyle w:val="Style_2"/>
        <w:widowControl w:val="1"/>
        <w:spacing w:line="360" w:lineRule="auto"/>
        <w:ind w:firstLine="0"/>
        <w:jc w:val="left"/>
      </w:pPr>
    </w:p>
    <w:p w14:paraId="56000000">
      <w:pPr>
        <w:pStyle w:val="Style_2"/>
        <w:widowControl w:val="1"/>
        <w:spacing w:line="360" w:lineRule="auto"/>
        <w:ind w:firstLine="0"/>
        <w:jc w:val="left"/>
      </w:pPr>
    </w:p>
    <w:p w14:paraId="57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t xml:space="preserve">Приложение № 3 </w:t>
      </w:r>
    </w:p>
    <w:p w14:paraId="58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</w:t>
      </w:r>
    </w:p>
    <w:p w14:paraId="59000000">
      <w:pPr>
        <w:pStyle w:val="Style_1"/>
        <w:widowControl w:val="1"/>
        <w:spacing w:line="360" w:lineRule="auto"/>
        <w:ind w:firstLine="468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работе «Телефона доверия»</w:t>
      </w:r>
    </w:p>
    <w:p w14:paraId="5A000000">
      <w:pPr>
        <w:pStyle w:val="Style_2"/>
        <w:widowControl w:val="1"/>
        <w:spacing w:line="360" w:lineRule="auto"/>
        <w:ind w:firstLine="4680"/>
        <w:jc w:val="center"/>
      </w:pPr>
    </w:p>
    <w:p w14:paraId="5B000000">
      <w:pPr>
        <w:pStyle w:val="Style_4"/>
        <w:widowControl w:val="1"/>
        <w:spacing w:line="360" w:lineRule="auto"/>
        <w:ind/>
        <w:jc w:val="center"/>
        <w:rPr>
          <w:b w:val="0"/>
          <w:sz w:val="28"/>
        </w:rPr>
      </w:pPr>
    </w:p>
    <w:p w14:paraId="5C000000">
      <w:pPr>
        <w:pStyle w:val="Style_4"/>
        <w:widowControl w:val="1"/>
        <w:spacing w:line="360" w:lineRule="auto"/>
        <w:ind/>
        <w:jc w:val="center"/>
        <w:rPr>
          <w:sz w:val="28"/>
        </w:rPr>
      </w:pPr>
      <w:r>
        <w:rPr>
          <w:sz w:val="28"/>
        </w:rPr>
        <w:t xml:space="preserve">Лица, имеющие доступ к информации, содержащейся в Журнале обращения граждан по вопросам противодействия коррупции </w:t>
      </w:r>
    </w:p>
    <w:p w14:paraId="5D000000">
      <w:pPr>
        <w:widowControl w:val="1"/>
        <w:spacing w:line="360" w:lineRule="auto"/>
        <w:ind/>
        <w:jc w:val="center"/>
        <w:rPr>
          <w:sz w:val="28"/>
        </w:rPr>
      </w:pPr>
    </w:p>
    <w:p w14:paraId="5E000000">
      <w:pPr>
        <w:widowControl w:val="1"/>
        <w:spacing w:line="360" w:lineRule="auto"/>
        <w:ind w:firstLine="540"/>
        <w:jc w:val="both"/>
        <w:rPr>
          <w:sz w:val="28"/>
        </w:rPr>
      </w:pPr>
    </w:p>
    <w:p w14:paraId="5F000000">
      <w:pPr>
        <w:widowControl w:val="1"/>
        <w:spacing w:line="360" w:lineRule="auto"/>
        <w:ind w:firstLine="540"/>
        <w:jc w:val="both"/>
        <w:rPr>
          <w:sz w:val="28"/>
        </w:rPr>
      </w:pPr>
      <w:r>
        <w:rPr>
          <w:b w:val="1"/>
          <w:sz w:val="28"/>
        </w:rPr>
        <w:t>Сырцева Юлия Геннадьевна</w:t>
      </w:r>
      <w:r>
        <w:rPr>
          <w:sz w:val="28"/>
        </w:rPr>
        <w:t xml:space="preserve"> – руководитель ТУ Росимущества  </w:t>
      </w:r>
      <w:r>
        <w:rPr>
          <w:sz w:val="28"/>
        </w:rPr>
        <w:t>в</w:t>
      </w:r>
      <w:r>
        <w:rPr>
          <w:sz w:val="28"/>
        </w:rPr>
        <w:t xml:space="preserve"> Тверской области;</w:t>
      </w:r>
    </w:p>
    <w:p w14:paraId="60000000">
      <w:pPr>
        <w:widowControl w:val="1"/>
        <w:spacing w:line="360" w:lineRule="auto"/>
        <w:ind w:firstLine="540"/>
        <w:jc w:val="both"/>
        <w:rPr>
          <w:sz w:val="28"/>
        </w:rPr>
      </w:pPr>
      <w:r>
        <w:rPr>
          <w:b w:val="1"/>
          <w:sz w:val="28"/>
        </w:rPr>
        <w:t>Фатуллаева Милана Абдуловна</w:t>
      </w:r>
      <w:r>
        <w:rPr>
          <w:sz w:val="28"/>
        </w:rPr>
        <w:t xml:space="preserve"> – заместитель руководителя ТУ Росимущества  по Тверской области, Председатель Комиссии по противодействию коррупции;</w:t>
      </w:r>
    </w:p>
    <w:p w14:paraId="61000000">
      <w:pPr>
        <w:widowControl w:val="1"/>
        <w:spacing w:line="360" w:lineRule="auto"/>
        <w:ind w:firstLine="540"/>
        <w:jc w:val="both"/>
        <w:rPr>
          <w:sz w:val="28"/>
        </w:rPr>
      </w:pPr>
      <w:r>
        <w:rPr>
          <w:b w:val="1"/>
          <w:sz w:val="28"/>
        </w:rPr>
        <w:t>Полунина София Александровна</w:t>
      </w:r>
      <w:r>
        <w:rPr>
          <w:sz w:val="28"/>
        </w:rPr>
        <w:t xml:space="preserve"> – главный специалист-эксперт отдела правового, финансового и кадрового обеспечения</w:t>
      </w:r>
      <w:r>
        <w:rPr>
          <w:sz w:val="28"/>
        </w:rPr>
        <w:t xml:space="preserve"> ТУ Росимущества  </w:t>
      </w:r>
      <w:r>
        <w:rPr>
          <w:sz w:val="28"/>
        </w:rPr>
        <w:t>в</w:t>
      </w:r>
      <w:r>
        <w:rPr>
          <w:sz w:val="28"/>
        </w:rPr>
        <w:t xml:space="preserve"> Тверской области, секретарь</w:t>
      </w:r>
      <w:r>
        <w:rPr>
          <w:sz w:val="28"/>
        </w:rPr>
        <w:t xml:space="preserve"> Комиссии по противодействию коррупции</w:t>
      </w:r>
      <w:r>
        <w:rPr>
          <w:sz w:val="28"/>
        </w:rPr>
        <w:t>;</w:t>
      </w:r>
    </w:p>
    <w:p w14:paraId="62000000">
      <w:pPr>
        <w:widowControl w:val="1"/>
        <w:spacing w:line="360" w:lineRule="auto"/>
        <w:ind w:firstLine="540"/>
        <w:jc w:val="both"/>
        <w:rPr>
          <w:sz w:val="28"/>
        </w:rPr>
      </w:pPr>
      <w:r>
        <w:rPr>
          <w:b w:val="1"/>
          <w:sz w:val="28"/>
        </w:rPr>
        <w:t>Роженко Ольга Юрьевна</w:t>
      </w:r>
      <w:r>
        <w:rPr>
          <w:sz w:val="28"/>
        </w:rPr>
        <w:t xml:space="preserve"> – начальник отдела </w:t>
      </w:r>
      <w:r>
        <w:rPr>
          <w:sz w:val="28"/>
        </w:rPr>
        <w:t>правового, финансового и кадрового обеспечения</w:t>
      </w:r>
      <w:r>
        <w:rPr>
          <w:sz w:val="28"/>
        </w:rPr>
        <w:t xml:space="preserve"> </w:t>
      </w:r>
      <w:r>
        <w:rPr>
          <w:sz w:val="28"/>
        </w:rPr>
        <w:t xml:space="preserve">ТУ Росимущества  </w:t>
      </w:r>
      <w:r>
        <w:rPr>
          <w:sz w:val="28"/>
        </w:rPr>
        <w:t>в</w:t>
      </w:r>
      <w:r>
        <w:rPr>
          <w:sz w:val="28"/>
        </w:rPr>
        <w:t xml:space="preserve"> Тверской области, </w:t>
      </w:r>
      <w:r>
        <w:rPr>
          <w:sz w:val="28"/>
        </w:rPr>
        <w:t>член</w:t>
      </w:r>
      <w:r>
        <w:rPr>
          <w:sz w:val="28"/>
        </w:rPr>
        <w:t xml:space="preserve"> Комиссии по противодействию коррупции</w:t>
      </w:r>
      <w:r>
        <w:rPr>
          <w:sz w:val="28"/>
        </w:rPr>
        <w:t>;</w:t>
      </w:r>
    </w:p>
    <w:p w14:paraId="63000000">
      <w:pPr>
        <w:widowControl w:val="1"/>
        <w:spacing w:line="360" w:lineRule="auto"/>
        <w:ind w:firstLine="540"/>
        <w:jc w:val="both"/>
        <w:rPr>
          <w:sz w:val="28"/>
        </w:rPr>
      </w:pPr>
    </w:p>
    <w:p w14:paraId="64000000">
      <w:pPr>
        <w:widowControl w:val="1"/>
        <w:spacing w:line="360" w:lineRule="auto"/>
        <w:ind w:firstLine="540"/>
        <w:jc w:val="both"/>
        <w:rPr>
          <w:sz w:val="28"/>
        </w:rPr>
      </w:pPr>
    </w:p>
    <w:p w14:paraId="65000000">
      <w:pPr>
        <w:widowControl w:val="1"/>
        <w:spacing w:line="360" w:lineRule="auto"/>
        <w:ind/>
        <w:jc w:val="both"/>
        <w:rPr>
          <w:sz w:val="28"/>
        </w:rPr>
      </w:pPr>
    </w:p>
    <w:sectPr>
      <w:pgSz w:h="16838" w:orient="portrait" w:w="11906"/>
      <w:pgMar w:bottom="719" w:footer="708" w:gutter="0" w:header="708" w:left="1440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HTML Preformatted"/>
    <w:basedOn w:val="Style_5"/>
    <w:link w:val="Style_1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1_ch" w:type="character">
    <w:name w:val="HTML Preformatted"/>
    <w:basedOn w:val="Style_5_ch"/>
    <w:link w:val="Style_1"/>
    <w:rPr>
      <w:rFonts w:ascii="Courier New" w:hAnsi="Courier New"/>
      <w:sz w:val="20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" w:type="paragraph">
    <w:name w:val="Body Text 2"/>
    <w:basedOn w:val="Style_5"/>
    <w:link w:val="Style_2_ch"/>
    <w:pPr>
      <w:widowControl w:val="1"/>
      <w:ind w:firstLine="720"/>
      <w:jc w:val="both"/>
    </w:pPr>
    <w:rPr>
      <w:sz w:val="28"/>
    </w:rPr>
  </w:style>
  <w:style w:styleId="Style_2_ch" w:type="character">
    <w:name w:val="Body Text 2"/>
    <w:basedOn w:val="Style_5_ch"/>
    <w:link w:val="Style_2"/>
    <w:rPr>
      <w:sz w:val="28"/>
    </w:rPr>
  </w:style>
  <w:style w:styleId="Style_4" w:type="paragraph">
    <w:name w:val="ConsPlusTitle"/>
    <w:link w:val="Style_4_ch"/>
    <w:pPr>
      <w:widowControl w:val="0"/>
      <w:ind/>
    </w:pPr>
    <w:rPr>
      <w:b w:val="1"/>
      <w:sz w:val="24"/>
    </w:rPr>
  </w:style>
  <w:style w:styleId="Style_4_ch" w:type="character">
    <w:name w:val="ConsPlusTitle"/>
    <w:link w:val="Style_4"/>
    <w:rPr>
      <w:b w:val="1"/>
      <w:sz w:val="24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Balloon Text"/>
    <w:basedOn w:val="Style_5"/>
    <w:link w:val="Style_26_ch"/>
    <w:rPr>
      <w:rFonts w:ascii="Tahoma" w:hAnsi="Tahoma"/>
      <w:sz w:val="16"/>
    </w:rPr>
  </w:style>
  <w:style w:styleId="Style_26_ch" w:type="character">
    <w:name w:val="Balloon Text"/>
    <w:basedOn w:val="Style_5_ch"/>
    <w:link w:val="Style_26"/>
    <w:rPr>
      <w:rFonts w:ascii="Tahoma" w:hAnsi="Tahoma"/>
      <w:sz w:val="16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2026-06-08T11:38:29Z</dcterms:created>
  <dcterms:modified xsi:type="dcterms:W3CDTF">2026-06-08T12:02:33Z</dcterms:modified>
</cp:coreProperties>
</file>